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rPr>
          <w:rFonts w:cs="Arial"/>
          <w:b/>
          <w:bCs/>
          <w:sz w:val="28"/>
          <w:szCs w:val="28"/>
          <w:lang w:val="it-CH"/>
        </w:rPr>
      </w:pPr>
      <w:r>
        <w:rPr>
          <w:rFonts w:cs="Arial"/>
          <w:b/>
          <w:bCs/>
          <w:sz w:val="28"/>
          <w:szCs w:val="28"/>
          <w:lang w:val="it-CH"/>
        </w:rPr>
        <w:t>Condizioni generali del contratto per l’esecuzione di lavori di misurazione ufficiale</w:t>
      </w:r>
    </w:p>
    <w:p>
      <w:pPr>
        <w:autoSpaceDE w:val="0"/>
        <w:autoSpaceDN w:val="0"/>
        <w:adjustRightInd w:val="0"/>
        <w:rPr>
          <w:rFonts w:cs="Arial"/>
          <w:lang w:val="it-CH"/>
        </w:rPr>
      </w:pPr>
      <w:r>
        <w:rPr>
          <w:rFonts w:cs="Arial"/>
          <w:lang w:val="it-CH"/>
        </w:rPr>
        <w:t>del 1° gennaio 2017</w:t>
      </w:r>
    </w:p>
    <w:p>
      <w:pPr>
        <w:autoSpaceDE w:val="0"/>
        <w:autoSpaceDN w:val="0"/>
        <w:adjustRightInd w:val="0"/>
        <w:spacing w:line="240" w:lineRule="auto"/>
        <w:rPr>
          <w:rFonts w:cs="Arial"/>
          <w:sz w:val="16"/>
          <w:szCs w:val="16"/>
          <w:lang w:val="it-CH"/>
        </w:rPr>
      </w:pP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 xml:space="preserve">La persona incaricata dei lavori di misurazione – detta di seguito «l’imprenditore» ‒ si impegna ad eseguire i lavori che gli sono affidati secondo le prescrizioni federali e cantonali. </w:t>
      </w:r>
      <w:r>
        <w:rPr>
          <w:rFonts w:cs="Arial"/>
          <w:lang w:val="it-CH"/>
        </w:rPr>
        <w:br/>
        <w:t>Per i lavori la cui esecuzione non è prevista né nel contratto né nelle prescrizioni federali o cantonali, l’imprenditore deve domandare le necessarie istruzioni all’autorità cantonale di vigilanza sulle misurazioni.</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L’imprenditore è responsabile personalmente dell'esatta osservanza del contratto, nei limiti delle condizioni generali e particolari di quest'ultimo. Egli si impegna a salvaguardare gli interessi pubblici e a non favorire personalmente nessuno.</w:t>
      </w:r>
      <w:r>
        <w:rPr>
          <w:rFonts w:cs="Arial"/>
          <w:lang w:val="it-CH"/>
        </w:rPr>
        <w:br/>
        <w:t>Le informazioni, i documenti, i dati e i risultati sono da trattare in modo confidenziale. Senza un'autorizzazione esplicita dell’ autorità cantonale di vigilanza sulle misurazioni cantonale del catasto, non possono essere utilizzati dall’imprenditore a fini propri né comunicati a terzi.</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Qualora l’imprenditore fosse confrontato con fatti che possono mettere in discussione la realizzazione dei lavori in conformità del contratto, egli deve informare immediatamente e per iscritto il committente nonché l’autorità cantonale di vigilanza sulle misurazioni sulle circostanze e le eventuali misure da adottare.</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 xml:space="preserve">L’imprenditore o il committente, come pure l’autorità cantonale di vigilanza sulle misurazioni hanno in ogni momento il diritto di procedere a controlli e di essere informati su ogni parte dell'opera. L'esercizio di questo diritto non modifica in nulla l'obbligo di rispettare il contratto. </w:t>
      </w:r>
      <w:r>
        <w:rPr>
          <w:rFonts w:cs="Arial"/>
          <w:lang w:val="it-CH"/>
        </w:rPr>
        <w:br/>
        <w:t>L’autorità cantonale di vigilanza sulle misurazioni può in ogni momento ordinare dei cambiamenti ai termini previsti dal contratto.</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Il risultato del lavoro (risultato intermedio e finale) e la proprietà intellettuale appartengono al Cantone.</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La trasmissione di lavori o di parti di lavoro previsti dal contratto ad un subappaltatore necessita del consenso scritto dell’autorità cantonale di vigilanza sulle misurazioni.</w:t>
      </w:r>
      <w:r>
        <w:rPr>
          <w:rFonts w:cs="Arial"/>
          <w:lang w:val="it-CH"/>
        </w:rPr>
        <w:br/>
        <w:t>In ogni caso, l’imprenditore è comunque il solo responsabile nei confronti del committente.</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Lavori a cottimo o a regia che esulando dal mandato necessitano il consenso scritto dell’autorità cantonale di vigilanza sulle misurazioni. Il consenso, rispettivamente l’approvazione, devono essere richiesti prima dell’ inizio dei lavori.</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L'imprenditore deve conservare con cura tutti gli atti, abbozzi e piani e assicurarli a sue spese contro qualsiasi danno fino alla loro consegna. Su richiesta egli è tenuto a fornire le prove.</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IT"/>
        </w:rPr>
      </w:pPr>
      <w:r>
        <w:rPr>
          <w:rFonts w:cs="Arial"/>
          <w:lang w:val="it-CH"/>
        </w:rPr>
        <w:t xml:space="preserve">L’imprenditore si impegna a causare, con i lavori di campagna, il minor danno possibile alle proprietà altrui e alle colture. Personalmente, o per il tramite delle autorità competenti, egli deve avvertire prima dell’inizio dei lavori di campagna i proprietari fondiari interessati circa  l'entità e la durata dei lavori previsti. </w:t>
      </w:r>
      <w:r>
        <w:rPr>
          <w:rFonts w:cs="Arial"/>
          <w:lang w:val="it-IT"/>
        </w:rPr>
        <w:t>Cfr. l’art. 20 e 21 della Legge federale sulla geoinformazione (LGI, RS 510.62).</w:t>
      </w:r>
      <w:r>
        <w:rPr>
          <w:rFonts w:cs="Arial"/>
          <w:lang w:val="it-IT"/>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Se i termini di esecuzione dell'opera non sono rispettati, l’imprenditore cade in mora senza preavviso. Se l’imprenditore è in ritardo, l’autorità cantonale di vigilanza sulle misurazioni è autorizzata ad adottare opportune misure.</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lastRenderedPageBreak/>
        <w:t>La retribuzione copre tutte le prestazioni necessarie all’esecuzione del contratto. La retribuzione comprende in particolare tutti i costi accessori come spese, prestazioni di segretariato, tutti i contributi sociali e altre indennità per malattia, invalidità o decesso come pure contributi pubblici.</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 xml:space="preserve">Il rincaro viene considerato solo se previsto da una convenzione nel contratto di appalto. Se un rincaro è previsto, questo è calcolato, se non previsto altrimenti, pro rata temporis in base alle scadenze del contratto e al rincaro concesso ufficialmente </w:t>
      </w:r>
      <w:bookmarkStart w:id="0" w:name="_GoBack"/>
      <w:bookmarkEnd w:id="0"/>
      <w:r>
        <w:rPr>
          <w:rFonts w:cs="Arial"/>
          <w:lang w:val="it-IT"/>
        </w:rPr>
        <w:t>dell’Ufficio federale di topografia (divisione «Geodesia e direzione federale delle misurazioni catastali»)</w:t>
      </w:r>
      <w:r>
        <w:rPr>
          <w:rFonts w:cs="Arial"/>
          <w:lang w:val="it-CH"/>
        </w:rPr>
        <w:t>. Fanno stato i fattori di applicazione previsti dal regolamento sugli onorari HO33.</w:t>
      </w:r>
    </w:p>
    <w:p>
      <w:pPr>
        <w:widowControl/>
        <w:autoSpaceDE w:val="0"/>
        <w:autoSpaceDN w:val="0"/>
        <w:adjustRightInd w:val="0"/>
        <w:rPr>
          <w:rFonts w:cs="Arial"/>
          <w:lang w:val="it-CH"/>
        </w:rPr>
      </w:pP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Se l’imprenditore vuole utilizzare il rapporto contrattuale a scopi di pubblicità o per pubblicazioni, è tenuto a richiedere, in aggiunta all’art. 22 lettera d dell’Ordinanza sugli ingegneri geometri (Ogeom, RS 211.432.261), l’autorizzazione scritta dell’autorità cantonale di vigilanza sulle misurazioni.</w:t>
      </w:r>
    </w:p>
    <w:p>
      <w:pPr>
        <w:widowControl/>
        <w:autoSpaceDE w:val="0"/>
        <w:autoSpaceDN w:val="0"/>
        <w:adjustRightInd w:val="0"/>
        <w:ind w:left="360"/>
        <w:rPr>
          <w:rFonts w:cs="Arial"/>
          <w:lang w:val="it-CH"/>
        </w:rPr>
      </w:pP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 xml:space="preserve">Per la durata di dieci anni a partire dal riconoscimento dell'opera da parte della Confederazione, il Servizio cantonale del catasto richiede, in deroga agli articoli 367 e 370 del Codice delle Obbligazioni (RS 220), la correzione dei difetti di ogni tipo dell'opera. Se per l'opera in questione non è richiesto il riconoscimento, il termine dei dieci anni decorre dall'origine dell'errore. </w:t>
      </w:r>
      <w:r>
        <w:rPr>
          <w:rFonts w:cs="Arial"/>
          <w:lang w:val="it-CH"/>
        </w:rPr>
        <w:br/>
        <w:t>L’imprenditore risponde per tutti i difetti, di cui l’autorità cantonale di vigilanza sulle misurazioni richiede la correzione entro questo termine.</w:t>
      </w:r>
      <w:r>
        <w:rPr>
          <w:rFonts w:cs="Arial"/>
          <w:lang w:val="it-CH"/>
        </w:rPr>
        <w:br/>
        <w:t xml:space="preserve">L’imprenditore si impegna a procedere alle correzioni richieste dal verificatore nei termini fissati dall’autorità cantonale di vigilanza sulle misurazioni. Se non adempie a questo obbligo malgrado un'intimazione scritta  l’autorità cantonale di vigilanza sulle misurazioni è autorizzata a far eseguire i lavori da un terzo a spese dell’imprenditore. </w:t>
      </w:r>
      <w:r>
        <w:rPr>
          <w:rFonts w:cs="Arial"/>
          <w:lang w:val="it-CH"/>
        </w:rPr>
        <w:br/>
        <w:t>Se viene riscontrato un danno dovuto ad un errore, l’imprenditore risponde in ragione degli articoli 368 e 97 sgg. del Codice delle Obbligazioni, RS 220.</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Se il contratto non prevede diversamente, si applicano le disposizioni del Codice delle Obbligazioni.</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Se non è regolato diversamente nel contratto stesso, le liti che potrebbero nascere in relazione al contratto saranno decise dai tribunali ordinari. Le parti riconoscono quale domicilio legale il Comune dove è stato firmato il contratto o la capitale del Cantone, se il committente è il Cantone.</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Il contratto, come pure le condizioni generali non possono essere modificati senza il consenso scritto dell’autorità cantonale di vigilanza sulle misurazioni.</w:t>
      </w:r>
      <w:r>
        <w:rPr>
          <w:rFonts w:cs="Arial"/>
          <w:lang w:val="it-CH"/>
        </w:rPr>
        <w:br/>
      </w:r>
    </w:p>
    <w:p>
      <w:pPr>
        <w:widowControl/>
        <w:numPr>
          <w:ilvl w:val="0"/>
          <w:numId w:val="1"/>
        </w:numPr>
        <w:tabs>
          <w:tab w:val="clear" w:pos="720"/>
          <w:tab w:val="num" w:pos="360"/>
        </w:tabs>
        <w:autoSpaceDE w:val="0"/>
        <w:autoSpaceDN w:val="0"/>
        <w:adjustRightInd w:val="0"/>
        <w:ind w:left="360"/>
        <w:rPr>
          <w:rFonts w:cs="Arial"/>
          <w:lang w:val="it-CH"/>
        </w:rPr>
      </w:pPr>
      <w:r>
        <w:rPr>
          <w:rFonts w:cs="Arial"/>
          <w:lang w:val="it-CH"/>
        </w:rPr>
        <w:t>Se l’adempimento del contratto da parte dell’imprenditore non è più garantito (per es. in caso di decesso, di cancellazione dal registro dei geometri in base all’articolo 19 dell’Ordinanza sugli ingegneri geometri (Ogeom, RS 211.432.261), cessazione dell’attività), l’autorità cantonale di vigilanza sulle misurazioni è tenuta a prendere le misure necessarie.</w:t>
      </w:r>
    </w:p>
    <w:p>
      <w:pPr>
        <w:rPr>
          <w:lang w:val="it-CH"/>
        </w:rPr>
      </w:pPr>
    </w:p>
    <w:sectPr>
      <w:headerReference w:type="default" r:id="rId7"/>
      <w:footerReference w:type="default" r:id="rId8"/>
      <w:headerReference w:type="first" r:id="rId9"/>
      <w:footerReference w:type="first" r:id="rId10"/>
      <w:pgSz w:w="11906" w:h="16838" w:code="9"/>
      <w:pgMar w:top="340" w:right="1134" w:bottom="907" w:left="1440"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1E0" w:firstRow="1" w:lastRow="1" w:firstColumn="1" w:lastColumn="1" w:noHBand="0" w:noVBand="0"/>
    </w:tblPr>
    <w:tblGrid>
      <w:gridCol w:w="9781"/>
    </w:tblGrid>
    <w:tr>
      <w:trPr>
        <w:cantSplit/>
      </w:trPr>
      <w:tc>
        <w:tcPr>
          <w:tcW w:w="9781" w:type="dxa"/>
          <w:vAlign w:val="bottom"/>
        </w:tcPr>
        <w:p>
          <w:pPr>
            <w:pStyle w:val="Seite"/>
          </w:pPr>
          <w:r>
            <w:fldChar w:fldCharType="begin"/>
          </w:r>
          <w:r>
            <w:instrText xml:space="preserve"> PAGE  </w:instrText>
          </w:r>
          <w:r>
            <w:fldChar w:fldCharType="separate"/>
          </w:r>
          <w:r>
            <w:rPr>
              <w:noProof/>
            </w:rPr>
            <w:t>2</w:t>
          </w:r>
          <w:r>
            <w:fldChar w:fldCharType="end"/>
          </w:r>
          <w:r>
            <w:t>/</w:t>
          </w:r>
          <w:r>
            <w:fldChar w:fldCharType="begin"/>
          </w:r>
          <w:r>
            <w:instrText xml:space="preserve"> NUMPAGES  </w:instrText>
          </w:r>
          <w:r>
            <w:fldChar w:fldCharType="separate"/>
          </w:r>
          <w:r>
            <w:rPr>
              <w:noProof/>
            </w:rPr>
            <w:t>2</w:t>
          </w:r>
          <w:r>
            <w:rPr>
              <w:noProof/>
            </w:rPr>
            <w:fldChar w:fldCharType="end"/>
          </w:r>
        </w:p>
      </w:tc>
    </w:tr>
    <w:tr>
      <w:trPr>
        <w:cantSplit/>
        <w:trHeight w:hRule="exact" w:val="340"/>
      </w:trPr>
      <w:tc>
        <w:tcPr>
          <w:tcW w:w="9781" w:type="dxa"/>
          <w:vAlign w:val="bottom"/>
        </w:tcPr>
        <w:p>
          <w:pPr>
            <w:pStyle w:val="FuzeilePlatzhalter"/>
          </w:pPr>
        </w:p>
      </w:tc>
    </w:tr>
  </w:tbl>
  <w:p>
    <w:pPr>
      <w:pStyle w:val="Platzhalter"/>
    </w:pPr>
  </w:p>
  <w:p>
    <w:pPr>
      <w:pStyle w:val="Pf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1E0" w:firstRow="1" w:lastRow="1" w:firstColumn="1" w:lastColumn="1" w:noHBand="0" w:noVBand="0"/>
    </w:tblPr>
    <w:tblGrid>
      <w:gridCol w:w="9781"/>
    </w:tblGrid>
    <w:tr>
      <w:trPr>
        <w:cantSplit/>
      </w:trPr>
      <w:tc>
        <w:tcPr>
          <w:tcW w:w="9781" w:type="dxa"/>
          <w:vAlign w:val="bottom"/>
        </w:tcPr>
        <w:p>
          <w:pPr>
            <w:pStyle w:val="Seite"/>
          </w:pPr>
          <w:r>
            <w:fldChar w:fldCharType="begin"/>
          </w:r>
          <w:r>
            <w:instrText xml:space="preserve"> PAGE  </w:instrText>
          </w:r>
          <w:r>
            <w:fldChar w:fldCharType="separate"/>
          </w:r>
          <w:r>
            <w:rPr>
              <w:noProof/>
            </w:rPr>
            <w:t>1</w:t>
          </w:r>
          <w:r>
            <w:fldChar w:fldCharType="end"/>
          </w:r>
          <w:r>
            <w:t>/</w:t>
          </w:r>
          <w:r>
            <w:fldChar w:fldCharType="begin"/>
          </w:r>
          <w:r>
            <w:instrText xml:space="preserve"> NUMPAGES  </w:instrText>
          </w:r>
          <w:r>
            <w:fldChar w:fldCharType="separate"/>
          </w:r>
          <w:r>
            <w:rPr>
              <w:noProof/>
            </w:rPr>
            <w:t>2</w:t>
          </w:r>
          <w:r>
            <w:rPr>
              <w:noProof/>
            </w:rPr>
            <w:fldChar w:fldCharType="end"/>
          </w:r>
        </w:p>
      </w:tc>
    </w:tr>
    <w:tr>
      <w:trPr>
        <w:cantSplit/>
        <w:trHeight w:hRule="exact" w:val="340"/>
      </w:trPr>
      <w:tc>
        <w:tcPr>
          <w:tcW w:w="9781" w:type="dxa"/>
          <w:vAlign w:val="bottom"/>
        </w:tcPr>
        <w:p>
          <w:pPr>
            <w:pStyle w:val="FuzeilePlatzhalter"/>
          </w:pPr>
        </w:p>
      </w:tc>
    </w:tr>
  </w:tbl>
  <w:p>
    <w:pPr>
      <w:pStyle w:val="Platzhalter"/>
    </w:pPr>
  </w:p>
  <w:p>
    <w:pPr>
      <w:pStyle w:val="Pf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Look w:val="01E0" w:firstRow="1" w:lastRow="1" w:firstColumn="1" w:lastColumn="1" w:noHBand="0" w:noVBand="0"/>
    </w:tblPr>
    <w:tblGrid>
      <w:gridCol w:w="9288"/>
    </w:tblGrid>
    <w:tr>
      <w:trPr>
        <w:trHeight w:val="1792"/>
      </w:trPr>
      <w:tc>
        <w:tcPr>
          <w:tcW w:w="9288" w:type="dxa"/>
          <w:shd w:val="clear" w:color="auto" w:fill="auto"/>
        </w:tcPr>
        <w:p>
          <w:pPr>
            <w:pStyle w:val="Kopfzeile"/>
          </w:pPr>
        </w:p>
      </w:tc>
    </w:tr>
  </w:tbl>
  <w:p>
    <w:pPr>
      <w:pStyle w:val="Kopfzeile"/>
      <w:spacing w:line="240" w:lineRule="auto"/>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rPr>
        <w:color w:val="FF0000"/>
        <w:sz w:val="20"/>
      </w:rPr>
    </w:pPr>
    <w:r>
      <w:rPr>
        <w:color w:val="FF0000"/>
        <w:sz w:val="20"/>
      </w:rPr>
      <w:t>Indirizzo completare</w:t>
    </w:r>
  </w:p>
  <w:p>
    <w:pPr>
      <w:pStyle w:val="Kopfzeile"/>
      <w:rPr>
        <w:color w:val="FF0000"/>
        <w:sz w:val="20"/>
      </w:rPr>
    </w:pPr>
  </w:p>
  <w:p>
    <w:pPr>
      <w:pStyle w:val="Kopfzeile"/>
      <w:rPr>
        <w:color w:val="FF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1B4A"/>
    <w:multiLevelType w:val="hybridMultilevel"/>
    <w:tmpl w:val="D4E6048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082F71-3AC4-477E-A8D9-3959D60E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60" w:lineRule="atLeast"/>
    </w:pPr>
    <w:rPr>
      <w:rFonts w:ascii="Arial" w:eastAsia="Times New Roman" w:hAnsi="Arial" w:cs="Times New Roman"/>
      <w:szCs w:val="20"/>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Arial" w:eastAsia="Times New Roman" w:hAnsi="Arial" w:cs="Times New Roman"/>
      <w:szCs w:val="20"/>
      <w:lang w:eastAsia="de-CH"/>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Arial" w:eastAsia="Times New Roman" w:hAnsi="Arial" w:cs="Times New Roman"/>
      <w:szCs w:val="20"/>
      <w:lang w:eastAsia="de-CH"/>
    </w:rPr>
  </w:style>
  <w:style w:type="paragraph" w:customStyle="1" w:styleId="Platzhalter">
    <w:name w:val="Platzhalter"/>
    <w:basedOn w:val="Standard"/>
    <w:pPr>
      <w:spacing w:line="240" w:lineRule="auto"/>
    </w:pPr>
    <w:rPr>
      <w:sz w:val="2"/>
      <w:szCs w:val="2"/>
    </w:rPr>
  </w:style>
  <w:style w:type="paragraph" w:customStyle="1" w:styleId="Pfad">
    <w:name w:val="Pfad"/>
    <w:next w:val="Standard"/>
    <w:pPr>
      <w:spacing w:after="0" w:line="160" w:lineRule="exact"/>
    </w:pPr>
    <w:rPr>
      <w:rFonts w:ascii="Arial" w:eastAsia="Times New Roman" w:hAnsi="Arial" w:cs="Times New Roman"/>
      <w:noProof/>
      <w:sz w:val="12"/>
      <w:szCs w:val="12"/>
      <w:lang w:eastAsia="de-CH"/>
    </w:rPr>
  </w:style>
  <w:style w:type="paragraph" w:customStyle="1" w:styleId="Seite">
    <w:name w:val="Seite"/>
    <w:basedOn w:val="Standard"/>
    <w:pPr>
      <w:suppressAutoHyphens/>
      <w:spacing w:line="200" w:lineRule="exact"/>
      <w:jc w:val="right"/>
    </w:pPr>
    <w:rPr>
      <w:sz w:val="14"/>
      <w:szCs w:val="14"/>
    </w:rPr>
  </w:style>
  <w:style w:type="paragraph" w:customStyle="1" w:styleId="FuzeilePlatzhalter">
    <w:name w:val="FußzeilePlatzhalter"/>
    <w:basedOn w:val="Seit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B074DB7F.dotm</Template>
  <TotalTime>0</TotalTime>
  <Pages>2</Pages>
  <Words>860</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Bundesamt fuer Landestopografie</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Hiltbrunner Daniel swisstopo</dc:creator>
  <cp:keywords/>
  <dc:description/>
  <cp:lastModifiedBy>Beyeler Corinne swisstopo</cp:lastModifiedBy>
  <cp:revision>3</cp:revision>
  <dcterms:created xsi:type="dcterms:W3CDTF">2017-01-11T13:36:00Z</dcterms:created>
  <dcterms:modified xsi:type="dcterms:W3CDTF">2017-01-11T13:44:00Z</dcterms:modified>
</cp:coreProperties>
</file>